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ПРОЕКТ ПОСТАНОВЛЕНИЯ</w:t>
      </w:r>
      <w:r>
        <w:rPr>
          <w:rFonts w:eastAsia="Calibri"/>
          <w:b/>
          <w:sz w:val="26"/>
          <w:szCs w:val="26"/>
          <w:lang w:eastAsia="en-US"/>
        </w:rPr>
      </w:r>
      <w:r>
        <w:rPr>
          <w:rFonts w:eastAsia="Calibri"/>
          <w:b/>
          <w:sz w:val="26"/>
          <w:szCs w:val="26"/>
          <w:lang w:eastAsia="en-US"/>
        </w:rPr>
      </w:r>
    </w:p>
    <w:p>
      <w:pPr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Нефтеюганского района от 02.11.2024 № 1868-па-нпа «О муниципальной программе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Нефтеюганского района «Образование 21 века»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>
        <w:rPr>
          <w:rFonts w:eastAsia="Calibri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</w:t>
      </w:r>
      <w:r>
        <w:rPr>
          <w:rFonts w:eastAsia="Calibri"/>
          <w:sz w:val="26"/>
          <w:szCs w:val="26"/>
          <w:lang w:eastAsia="en-US"/>
        </w:rPr>
        <w:t xml:space="preserve">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постановлением администр</w:t>
      </w:r>
      <w:r>
        <w:rPr>
          <w:rFonts w:eastAsia="Calibri"/>
          <w:sz w:val="26"/>
          <w:szCs w:val="26"/>
          <w:lang w:eastAsia="en-US"/>
        </w:rPr>
        <w:t xml:space="preserve">ации Нефтеюганского райо</w:t>
      </w:r>
      <w:r>
        <w:rPr>
          <w:rFonts w:eastAsia="Calibri"/>
          <w:sz w:val="26"/>
          <w:szCs w:val="26"/>
          <w:lang w:eastAsia="en-US"/>
        </w:rPr>
        <w:t xml:space="preserve">на от 24.09.2013 № 2493-па-нпа «О порядке разработки и реализации муниципальных программ Нефтеюганского района»,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white"/>
        </w:rPr>
        <w:t xml:space="preserve">администрация Нефтеюганского района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  <w:lang w:eastAsia="en-US"/>
        </w:rPr>
        <w:t xml:space="preserve">  п о с т а н о в л я е т: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r>
    </w:p>
    <w:p>
      <w:pPr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</w:r>
      <w:r>
        <w:rPr>
          <w:rFonts w:eastAsia="Calibri"/>
          <w:bCs/>
          <w:sz w:val="26"/>
          <w:szCs w:val="26"/>
          <w:lang w:eastAsia="en-US"/>
        </w:rPr>
      </w:r>
      <w:r>
        <w:rPr>
          <w:rFonts w:eastAsia="Calibri"/>
          <w:bCs/>
          <w:sz w:val="26"/>
          <w:szCs w:val="26"/>
          <w:lang w:eastAsia="en-US"/>
        </w:rPr>
      </w:r>
    </w:p>
    <w:p>
      <w:pPr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</w:r>
      <w:r>
        <w:rPr>
          <w:rFonts w:eastAsia="Calibri"/>
          <w:bCs/>
          <w:sz w:val="26"/>
          <w:szCs w:val="26"/>
          <w:lang w:eastAsia="en-US"/>
        </w:rPr>
      </w:r>
      <w:r>
        <w:rPr>
          <w:rFonts w:eastAsia="Calibri"/>
          <w:bCs/>
          <w:sz w:val="26"/>
          <w:szCs w:val="26"/>
          <w:lang w:eastAsia="en-US"/>
        </w:rPr>
      </w:r>
    </w:p>
    <w:p>
      <w:pPr>
        <w:ind w:firstLine="708"/>
        <w:jc w:val="both"/>
        <w:rPr>
          <w:rFonts w:eastAsia="Calibri"/>
          <w:bCs/>
          <w:color w:val="000000" w:themeColor="text1"/>
          <w:sz w:val="26"/>
          <w:szCs w:val="26"/>
        </w:rPr>
      </w:pPr>
      <w:r>
        <w:rPr>
          <w:rFonts w:eastAsia="Calibri"/>
          <w:bCs/>
          <w:color w:val="000000" w:themeColor="text1"/>
          <w:sz w:val="26"/>
          <w:szCs w:val="26"/>
          <w:lang w:eastAsia="en-US"/>
        </w:rPr>
        <w:t xml:space="preserve">1. Внести изменения в постановление администрации Нефтеюганского района от 02.11.2024 № 1868-па-нпа «О муниципальной программе Нефтеюганского района «Образование 21 века», </w:t>
      </w:r>
      <w:r>
        <w:rPr>
          <w:rFonts w:eastAsia="Calibri"/>
          <w:bCs/>
          <w:color w:val="000000" w:themeColor="text1"/>
          <w:sz w:val="26"/>
          <w:szCs w:val="26"/>
          <w:lang w:eastAsia="en-US"/>
        </w:rPr>
        <w:t xml:space="preserve">изложив приложения 1,</w:t>
      </w:r>
      <w:r>
        <w:rPr>
          <w:rFonts w:eastAsia="Calibri"/>
          <w:bCs/>
          <w:color w:val="000000" w:themeColor="text1"/>
          <w:sz w:val="26"/>
          <w:szCs w:val="26"/>
          <w:lang w:eastAsia="en-US"/>
        </w:rPr>
        <w:t xml:space="preserve">3</w:t>
      </w:r>
      <w:r>
        <w:rPr>
          <w:rFonts w:eastAsia="Calibri"/>
          <w:bCs/>
          <w:color w:val="000000" w:themeColor="text1"/>
          <w:sz w:val="26"/>
          <w:szCs w:val="26"/>
          <w:lang w:eastAsia="en-US"/>
        </w:rPr>
        <w:t xml:space="preserve"> к постановлению </w:t>
      </w:r>
      <w:r>
        <w:rPr>
          <w:rFonts w:eastAsia="Calibri"/>
          <w:bCs/>
          <w:color w:val="000000" w:themeColor="text1"/>
          <w:sz w:val="26"/>
          <w:szCs w:val="26"/>
          <w:lang w:eastAsia="en-US"/>
        </w:rPr>
        <w:t xml:space="preserve">в редакции согласно </w:t>
      </w:r>
      <w:r>
        <w:rPr>
          <w:rFonts w:eastAsia="Calibri"/>
          <w:bCs/>
          <w:color w:val="000000" w:themeColor="text1"/>
          <w:sz w:val="26"/>
          <w:szCs w:val="26"/>
          <w:lang w:eastAsia="en-US"/>
        </w:rPr>
        <w:t xml:space="preserve">приложениям 1,2 </w:t>
      </w:r>
      <w:r>
        <w:rPr>
          <w:rFonts w:eastAsia="Calibri"/>
          <w:bCs/>
          <w:color w:val="000000" w:themeColor="text1"/>
          <w:sz w:val="26"/>
          <w:szCs w:val="26"/>
          <w:lang w:eastAsia="en-US"/>
        </w:rPr>
        <w:t xml:space="preserve">к</w:t>
      </w:r>
      <w:r>
        <w:rPr>
          <w:rFonts w:eastAsia="Calibri"/>
          <w:bCs/>
          <w:color w:val="000000" w:themeColor="text1"/>
          <w:sz w:val="26"/>
          <w:szCs w:val="26"/>
          <w:lang w:eastAsia="en-US"/>
        </w:rPr>
        <w:t xml:space="preserve"> настоящему постановлению</w:t>
      </w:r>
      <w:r>
        <w:rPr>
          <w:rFonts w:eastAsia="Calibri"/>
          <w:bCs/>
          <w:color w:val="000000" w:themeColor="text1"/>
          <w:sz w:val="26"/>
          <w:szCs w:val="26"/>
          <w:lang w:eastAsia="en-US"/>
        </w:rPr>
        <w:t xml:space="preserve">.</w:t>
      </w:r>
      <w:r>
        <w:rPr>
          <w:rFonts w:eastAsia="Calibri"/>
          <w:bCs/>
          <w:color w:val="000000" w:themeColor="text1"/>
          <w:sz w:val="26"/>
          <w:szCs w:val="26"/>
        </w:rPr>
      </w:r>
      <w:r>
        <w:rPr>
          <w:rFonts w:eastAsia="Calibri"/>
          <w:bCs/>
          <w:color w:val="000000" w:themeColor="text1"/>
          <w:sz w:val="26"/>
          <w:szCs w:val="26"/>
        </w:rPr>
      </w:r>
    </w:p>
    <w:p>
      <w:pPr>
        <w:ind w:firstLine="708"/>
        <w:jc w:val="both"/>
        <w:rPr>
          <w:rFonts w:eastAsia="Calibri"/>
          <w:bCs/>
          <w:color w:val="000000" w:themeColor="text1"/>
          <w:sz w:val="26"/>
          <w:szCs w:val="26"/>
        </w:rPr>
      </w:pPr>
      <w:r>
        <w:rPr>
          <w:rFonts w:eastAsia="Calibri"/>
          <w:bCs/>
          <w:color w:val="000000" w:themeColor="text1"/>
          <w:sz w:val="26"/>
          <w:szCs w:val="26"/>
          <w:lang w:eastAsia="en-US"/>
        </w:rPr>
        <w:t xml:space="preserve">2. 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  <w:r>
        <w:rPr>
          <w:rFonts w:eastAsia="Calibri"/>
          <w:bCs/>
          <w:color w:val="000000" w:themeColor="text1"/>
          <w:sz w:val="26"/>
          <w:szCs w:val="26"/>
        </w:rPr>
      </w:r>
      <w:r>
        <w:rPr>
          <w:rFonts w:eastAsia="Calibri"/>
          <w:bCs/>
          <w:color w:val="000000" w:themeColor="text1"/>
          <w:sz w:val="26"/>
          <w:szCs w:val="26"/>
        </w:rPr>
      </w:r>
    </w:p>
    <w:p>
      <w:pPr>
        <w:ind w:firstLine="708"/>
        <w:jc w:val="both"/>
        <w:rPr>
          <w:rFonts w:ascii="Times New Roman" w:hAnsi="Times New Roman" w:cs="Times New Roman"/>
          <w:bCs/>
          <w:color w:val="ff0000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3.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Настоящее постановление вступает в силу после официального опубликования.</w:t>
      </w:r>
      <w:r>
        <w:rPr>
          <w:rFonts w:ascii="Times New Roman" w:hAnsi="Times New Roman" w:cs="Times New Roman"/>
          <w:bCs/>
          <w:color w:val="ff0000"/>
          <w:sz w:val="26"/>
          <w:szCs w:val="26"/>
          <w:highlight w:val="none"/>
        </w:rPr>
      </w:r>
      <w:r>
        <w:rPr>
          <w:rFonts w:ascii="Times New Roman" w:hAnsi="Times New Roman" w:cs="Times New Roman"/>
          <w:bCs/>
          <w:color w:val="ff0000"/>
          <w:sz w:val="26"/>
          <w:szCs w:val="26"/>
          <w:highlight w:val="none"/>
        </w:rPr>
      </w:r>
    </w:p>
    <w:p>
      <w:pPr>
        <w:ind w:firstLine="708"/>
        <w:jc w:val="both"/>
        <w:rPr>
          <w:rFonts w:eastAsia="Calibri"/>
          <w:bCs/>
          <w:color w:val="000000" w:themeColor="text1"/>
          <w:sz w:val="26"/>
          <w:szCs w:val="26"/>
        </w:rPr>
      </w:pPr>
      <w:r>
        <w:rPr>
          <w:rFonts w:eastAsia="Calibri"/>
          <w:bCs/>
          <w:color w:val="000000" w:themeColor="text1"/>
          <w:sz w:val="26"/>
          <w:szCs w:val="26"/>
          <w:lang w:eastAsia="en-US"/>
        </w:rPr>
        <w:t xml:space="preserve">4. Контроль за выполнением постановления возложить на заместителя главы Нефтеюганского района Михалева В.Г.</w:t>
      </w:r>
      <w:r>
        <w:rPr>
          <w:rFonts w:eastAsia="Calibri"/>
          <w:bCs/>
          <w:color w:val="000000" w:themeColor="text1"/>
          <w:sz w:val="26"/>
          <w:szCs w:val="26"/>
        </w:rPr>
      </w:r>
      <w:r>
        <w:rPr>
          <w:rFonts w:eastAsia="Calibri"/>
          <w:bCs/>
          <w:color w:val="000000" w:themeColor="text1"/>
          <w:sz w:val="26"/>
          <w:szCs w:val="26"/>
        </w:rPr>
      </w:r>
    </w:p>
    <w:p>
      <w:pPr>
        <w:jc w:val="both"/>
        <w:tabs>
          <w:tab w:val="left" w:pos="1162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tabs>
          <w:tab w:val="left" w:pos="1162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jc w:val="both"/>
        <w:tabs>
          <w:tab w:val="left" w:pos="1162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           Глава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А.А.Бочко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ectPr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</w:sectPr>
      </w:pPr>
      <w:r/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1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67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ад</w:t>
      </w:r>
      <w:r>
        <w:rPr>
          <w:sz w:val="26"/>
          <w:szCs w:val="26"/>
        </w:rPr>
        <w:t xml:space="preserve">министрации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Нефтеюганского района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</w:pPr>
      <w:r>
        <w:rPr>
          <w:sz w:val="26"/>
          <w:szCs w:val="26"/>
        </w:rPr>
        <w:t xml:space="preserve">от _________ № ___-па-</w:t>
      </w:r>
      <w:r>
        <w:rPr>
          <w:sz w:val="26"/>
          <w:szCs w:val="26"/>
        </w:rPr>
        <w:t xml:space="preserve">нпа</w:t>
      </w:r>
      <w:r/>
    </w:p>
    <w:p>
      <w:pPr>
        <w:jc w:val="right"/>
      </w:pPr>
      <w:r/>
      <w:r/>
    </w:p>
    <w:p>
      <w:pPr>
        <w:jc w:val="right"/>
        <w:rPr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                                 «</w:t>
      </w:r>
      <w:r>
        <w:rPr>
          <w:sz w:val="26"/>
          <w:szCs w:val="26"/>
        </w:rPr>
        <w:t xml:space="preserve">Приложение 1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к постановлению администрации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Нефтеюганского района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от 02.11.2022 № 1868-па-нпа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rFonts w:eastAsia="Courier New"/>
          <w:bCs/>
          <w:iCs/>
          <w:sz w:val="26"/>
          <w:szCs w:val="26"/>
        </w:rPr>
        <w:outlineLvl w:val="1"/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ourier New"/>
          <w:bCs/>
          <w:iCs/>
          <w:sz w:val="26"/>
          <w:szCs w:val="26"/>
        </w:rPr>
      </w:r>
      <w:r>
        <w:rPr>
          <w:rFonts w:eastAsia="Courier New"/>
          <w:bCs/>
          <w:iCs/>
          <w:sz w:val="26"/>
          <w:szCs w:val="26"/>
        </w:rPr>
      </w:r>
    </w:p>
    <w:p>
      <w:pPr>
        <w:jc w:val="center"/>
        <w:rPr>
          <w:rFonts w:eastAsia="Courier New"/>
          <w:bCs/>
          <w:iCs/>
          <w:sz w:val="26"/>
          <w:szCs w:val="26"/>
        </w:rPr>
        <w:outlineLvl w:val="1"/>
      </w:pPr>
      <w:r>
        <w:rPr>
          <w:rFonts w:eastAsia="Courier New"/>
          <w:bCs/>
          <w:iCs/>
          <w:sz w:val="26"/>
          <w:szCs w:val="26"/>
        </w:rPr>
        <w:t xml:space="preserve">ПАСПОРТ</w:t>
      </w:r>
      <w:r>
        <w:rPr>
          <w:rFonts w:eastAsia="Courier New"/>
          <w:bCs/>
          <w:iCs/>
          <w:sz w:val="26"/>
          <w:szCs w:val="26"/>
        </w:rPr>
      </w:r>
      <w:r>
        <w:rPr>
          <w:rFonts w:eastAsia="Courier New"/>
          <w:bCs/>
          <w:iCs/>
          <w:sz w:val="26"/>
          <w:szCs w:val="26"/>
        </w:rPr>
      </w:r>
    </w:p>
    <w:p>
      <w:pPr>
        <w:jc w:val="center"/>
        <w:rPr>
          <w:rFonts w:eastAsia="Courier New"/>
          <w:bCs/>
          <w:iCs/>
          <w:sz w:val="26"/>
          <w:szCs w:val="26"/>
        </w:rPr>
        <w:outlineLvl w:val="1"/>
      </w:pPr>
      <w:r>
        <w:rPr>
          <w:rFonts w:eastAsia="Courier New"/>
          <w:bCs/>
          <w:iCs/>
          <w:sz w:val="26"/>
          <w:szCs w:val="26"/>
        </w:rPr>
        <w:t xml:space="preserve">Муниципальной программы Нефтеюганского ра</w:t>
      </w:r>
      <w:r>
        <w:rPr>
          <w:rFonts w:eastAsia="Courier New"/>
          <w:bCs/>
          <w:iCs/>
          <w:sz w:val="26"/>
          <w:szCs w:val="26"/>
        </w:rPr>
        <w:t xml:space="preserve">йона </w:t>
      </w:r>
      <w:r>
        <w:rPr>
          <w:rFonts w:eastAsia="Courier New"/>
          <w:bCs/>
          <w:iCs/>
          <w:sz w:val="26"/>
          <w:szCs w:val="26"/>
        </w:rPr>
      </w:r>
      <w:r>
        <w:rPr>
          <w:rFonts w:eastAsia="Courier New"/>
          <w:bCs/>
          <w:iCs/>
          <w:sz w:val="26"/>
          <w:szCs w:val="26"/>
        </w:rPr>
      </w:r>
    </w:p>
    <w:p>
      <w:pPr>
        <w:jc w:val="center"/>
        <w:rPr>
          <w:rFonts w:eastAsia="Courier New"/>
          <w:bCs/>
          <w:iCs/>
          <w:sz w:val="26"/>
          <w:szCs w:val="26"/>
        </w:rPr>
        <w:outlineLvl w:val="1"/>
      </w:pPr>
      <w:r>
        <w:rPr>
          <w:rFonts w:eastAsia="Courier New"/>
          <w:bCs/>
          <w:iCs/>
          <w:sz w:val="26"/>
          <w:szCs w:val="26"/>
        </w:rPr>
        <w:t xml:space="preserve">«Образование 21 века»</w:t>
      </w:r>
      <w:r>
        <w:rPr>
          <w:rFonts w:eastAsia="Courier New"/>
          <w:bCs/>
          <w:iCs/>
          <w:sz w:val="26"/>
          <w:szCs w:val="26"/>
        </w:rPr>
      </w:r>
      <w:r>
        <w:rPr>
          <w:rFonts w:eastAsia="Courier New"/>
          <w:bCs/>
          <w:iCs/>
          <w:sz w:val="26"/>
          <w:szCs w:val="26"/>
        </w:rPr>
      </w:r>
    </w:p>
    <w:p>
      <w:pPr>
        <w:jc w:val="center"/>
        <w:rPr>
          <w:rFonts w:eastAsia="Courier New"/>
          <w:bCs/>
          <w:iCs/>
          <w:sz w:val="26"/>
          <w:szCs w:val="26"/>
        </w:rPr>
        <w:outlineLvl w:val="1"/>
      </w:pPr>
      <w:r>
        <w:rPr>
          <w:rFonts w:eastAsia="Courier New"/>
          <w:bCs/>
          <w:iCs/>
          <w:sz w:val="26"/>
          <w:szCs w:val="26"/>
        </w:rPr>
      </w:r>
      <w:r>
        <w:rPr>
          <w:rFonts w:eastAsia="Courier New"/>
          <w:bCs/>
          <w:iCs/>
          <w:sz w:val="26"/>
          <w:szCs w:val="26"/>
        </w:rPr>
      </w:r>
      <w:r>
        <w:rPr>
          <w:rFonts w:eastAsia="Courier New"/>
          <w:bCs/>
          <w:iCs/>
          <w:sz w:val="26"/>
          <w:szCs w:val="26"/>
        </w:rPr>
      </w:r>
    </w:p>
    <w:p>
      <w:pPr>
        <w:pStyle w:val="985"/>
        <w:numPr>
          <w:ilvl w:val="0"/>
          <w:numId w:val="11"/>
        </w:numPr>
        <w:jc w:val="center"/>
        <w:rPr>
          <w:rFonts w:eastAsia="Courier New"/>
          <w:bCs/>
          <w:iCs/>
          <w:sz w:val="26"/>
          <w:szCs w:val="26"/>
        </w:rPr>
        <w:outlineLvl w:val="1"/>
      </w:pPr>
      <w:r>
        <w:rPr>
          <w:rFonts w:eastAsia="Courier New"/>
          <w:bCs/>
          <w:iCs/>
          <w:sz w:val="26"/>
          <w:szCs w:val="26"/>
        </w:rPr>
        <w:t xml:space="preserve">Основные положения</w:t>
      </w:r>
      <w:r>
        <w:rPr>
          <w:rFonts w:eastAsia="Courier New"/>
          <w:bCs/>
          <w:iCs/>
          <w:sz w:val="26"/>
          <w:szCs w:val="26"/>
        </w:rPr>
      </w:r>
      <w:r>
        <w:rPr>
          <w:rFonts w:eastAsia="Courier New"/>
          <w:bCs/>
          <w:iCs/>
          <w:sz w:val="26"/>
          <w:szCs w:val="26"/>
        </w:rPr>
      </w:r>
    </w:p>
    <w:p>
      <w:pPr>
        <w:rPr>
          <w:rFonts w:eastAsia="Courier New"/>
          <w:b/>
          <w:bCs/>
          <w:iCs/>
          <w:sz w:val="26"/>
          <w:szCs w:val="26"/>
        </w:rPr>
        <w:outlineLvl w:val="1"/>
      </w:pPr>
      <w:r>
        <w:rPr>
          <w:rFonts w:eastAsia="Courier New"/>
          <w:b/>
          <w:bCs/>
          <w:iCs/>
          <w:sz w:val="26"/>
          <w:szCs w:val="26"/>
        </w:rPr>
      </w:r>
      <w:r>
        <w:rPr>
          <w:rFonts w:eastAsia="Courier New"/>
          <w:b/>
          <w:bCs/>
          <w:iCs/>
          <w:sz w:val="26"/>
          <w:szCs w:val="26"/>
        </w:rPr>
      </w:r>
      <w:r>
        <w:rPr>
          <w:rFonts w:eastAsia="Courier New"/>
          <w:b/>
          <w:bCs/>
          <w:iCs/>
          <w:sz w:val="26"/>
          <w:szCs w:val="26"/>
        </w:rPr>
      </w:r>
    </w:p>
    <w:tbl>
      <w:tblPr>
        <w:tblW w:w="15735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377"/>
        <w:gridCol w:w="9358"/>
      </w:tblGrid>
      <w:tr>
        <w:tblPrEx/>
        <w:trPr>
          <w:trHeight w:val="202"/>
        </w:trPr>
        <w:tc>
          <w:tcPr>
            <w:shd w:val="clear" w:color="auto" w:fill="auto"/>
            <w:tcW w:w="6377" w:type="dxa"/>
            <w:vAlign w:val="center"/>
            <w:textDirection w:val="lrTb"/>
            <w:noWrap w:val="false"/>
          </w:tcPr>
          <w:p>
            <w:pPr>
              <w:rPr>
                <w:rFonts w:eastAsia="Courier New"/>
                <w:bCs/>
                <w:iCs/>
                <w:sz w:val="26"/>
                <w:szCs w:val="26"/>
              </w:rPr>
              <w:outlineLvl w:val="1"/>
            </w:pP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Куратор муниципальной программы</w:t>
            </w:r>
            <w:r>
              <w:rPr>
                <w:rFonts w:eastAsia="Courier New"/>
                <w:bCs/>
                <w:iCs/>
                <w:sz w:val="26"/>
                <w:szCs w:val="26"/>
                <w:lang w:val="en-US"/>
              </w:rPr>
              <w:t xml:space="preserve"> </w:t>
            </w:r>
            <w:r>
              <w:rPr>
                <w:rFonts w:eastAsia="Courier New"/>
                <w:bCs/>
                <w:iCs/>
                <w:sz w:val="26"/>
                <w:szCs w:val="26"/>
              </w:rPr>
            </w:r>
            <w:r>
              <w:rPr>
                <w:rFonts w:eastAsia="Courier New"/>
                <w:bCs/>
                <w:iCs/>
                <w:sz w:val="26"/>
                <w:szCs w:val="26"/>
              </w:rPr>
            </w:r>
          </w:p>
        </w:tc>
        <w:tc>
          <w:tcPr>
            <w:tcW w:w="9358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  <w:outlineLvl w:val="1"/>
            </w:pPr>
            <w:r>
              <w:rPr>
                <w:rFonts w:eastAsia="Courier New"/>
                <w:bCs/>
                <w:iCs/>
                <w:color w:val="000000"/>
                <w:sz w:val="26"/>
                <w:szCs w:val="26"/>
              </w:rPr>
              <w:t xml:space="preserve">Михалев Владлен Геннадьевич - заместитель главы Нефтеюганского района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202"/>
        </w:trPr>
        <w:tc>
          <w:tcPr>
            <w:shd w:val="clear" w:color="auto" w:fill="auto"/>
            <w:tcW w:w="6377" w:type="dxa"/>
            <w:vAlign w:val="center"/>
            <w:textDirection w:val="lrTb"/>
            <w:noWrap w:val="false"/>
          </w:tcPr>
          <w:p>
            <w:pPr>
              <w:rPr>
                <w:rFonts w:eastAsia="Courier New"/>
                <w:bCs/>
                <w:iCs/>
                <w:sz w:val="26"/>
                <w:szCs w:val="26"/>
              </w:rPr>
              <w:outlineLvl w:val="1"/>
            </w:pP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Ответственный исполнитель муниципальной программы</w:t>
            </w:r>
            <w:r>
              <w:rPr>
                <w:rFonts w:eastAsia="Courier New"/>
                <w:bCs/>
                <w:iCs/>
                <w:sz w:val="26"/>
                <w:szCs w:val="26"/>
              </w:rPr>
            </w:r>
            <w:r>
              <w:rPr>
                <w:rFonts w:eastAsia="Courier New"/>
                <w:bCs/>
                <w:iCs/>
                <w:sz w:val="26"/>
                <w:szCs w:val="26"/>
              </w:rPr>
            </w:r>
          </w:p>
        </w:tc>
        <w:tc>
          <w:tcPr>
            <w:tcW w:w="9358" w:type="dxa"/>
            <w:vAlign w:val="center"/>
            <w:textDirection w:val="lrTb"/>
            <w:noWrap w:val="false"/>
          </w:tcPr>
          <w:p>
            <w:pPr>
              <w:rPr>
                <w:rFonts w:eastAsia="Courier New"/>
                <w:bCs/>
                <w:iCs/>
                <w:sz w:val="26"/>
                <w:szCs w:val="26"/>
              </w:rPr>
              <w:outlineLvl w:val="1"/>
            </w:pPr>
            <w:r>
              <w:rPr>
                <w:sz w:val="26"/>
                <w:szCs w:val="26"/>
              </w:rPr>
              <w:t xml:space="preserve">Департамент образования Нефтеюганского района</w:t>
            </w:r>
            <w:r>
              <w:rPr>
                <w:rFonts w:eastAsia="Courier New"/>
                <w:bCs/>
                <w:iCs/>
                <w:sz w:val="26"/>
                <w:szCs w:val="26"/>
              </w:rPr>
            </w:r>
            <w:r>
              <w:rPr>
                <w:rFonts w:eastAsia="Courier New"/>
                <w:bCs/>
                <w:iCs/>
                <w:sz w:val="26"/>
                <w:szCs w:val="26"/>
              </w:rPr>
            </w:r>
          </w:p>
        </w:tc>
      </w:tr>
      <w:tr>
        <w:tblPrEx/>
        <w:trPr>
          <w:trHeight w:val="202"/>
        </w:trPr>
        <w:tc>
          <w:tcPr>
            <w:shd w:val="clear" w:color="auto" w:fill="auto"/>
            <w:tcW w:w="6377" w:type="dxa"/>
            <w:vAlign w:val="center"/>
            <w:textDirection w:val="lrTb"/>
            <w:noWrap w:val="false"/>
          </w:tcPr>
          <w:p>
            <w:pPr>
              <w:rPr>
                <w:rFonts w:eastAsia="Courier New"/>
                <w:bCs/>
                <w:iCs/>
                <w:sz w:val="26"/>
                <w:szCs w:val="26"/>
              </w:rPr>
              <w:outlineLvl w:val="1"/>
            </w:pP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Период реализации муниципальной программы</w:t>
            </w:r>
            <w:r>
              <w:rPr>
                <w:rFonts w:eastAsia="Courier New"/>
                <w:bCs/>
                <w:iCs/>
                <w:sz w:val="26"/>
                <w:szCs w:val="26"/>
              </w:rPr>
            </w:r>
            <w:r>
              <w:rPr>
                <w:rFonts w:eastAsia="Courier New"/>
                <w:bCs/>
                <w:iCs/>
                <w:sz w:val="26"/>
                <w:szCs w:val="26"/>
              </w:rPr>
            </w:r>
          </w:p>
        </w:tc>
        <w:tc>
          <w:tcPr>
            <w:tcW w:w="9358" w:type="dxa"/>
            <w:vAlign w:val="center"/>
            <w:textDirection w:val="lrTb"/>
            <w:noWrap w:val="false"/>
          </w:tcPr>
          <w:p>
            <w:pPr>
              <w:tabs>
                <w:tab w:val="left" w:pos="270" w:leader="none"/>
              </w:tabs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2025 - 2030</w:t>
            </w:r>
            <w:r>
              <w:rPr>
                <w:rFonts w:eastAsia="Calibri"/>
                <w:sz w:val="26"/>
                <w:szCs w:val="26"/>
                <w:lang w:eastAsia="en-US"/>
              </w:rPr>
            </w:r>
            <w:r>
              <w:rPr>
                <w:rFonts w:eastAsia="Calibri"/>
                <w:sz w:val="26"/>
                <w:szCs w:val="26"/>
                <w:lang w:eastAsia="en-US"/>
              </w:rPr>
            </w:r>
          </w:p>
        </w:tc>
      </w:tr>
      <w:tr>
        <w:tblPrEx/>
        <w:trPr>
          <w:trHeight w:val="202"/>
        </w:trPr>
        <w:tc>
          <w:tcPr>
            <w:shd w:val="clear" w:color="auto" w:fill="auto"/>
            <w:tcW w:w="6377" w:type="dxa"/>
            <w:vAlign w:val="center"/>
            <w:textDirection w:val="lrTb"/>
            <w:noWrap w:val="false"/>
          </w:tcPr>
          <w:p>
            <w:pPr>
              <w:rPr>
                <w:rFonts w:eastAsia="Courier New"/>
                <w:bCs/>
                <w:iCs/>
                <w:sz w:val="26"/>
                <w:szCs w:val="26"/>
              </w:rPr>
              <w:outlineLvl w:val="1"/>
            </w:pP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Цели муниципальной программы</w:t>
            </w:r>
            <w:r>
              <w:rPr>
                <w:rFonts w:eastAsia="Courier New"/>
                <w:bCs/>
                <w:iCs/>
                <w:sz w:val="26"/>
                <w:szCs w:val="26"/>
              </w:rPr>
            </w:r>
            <w:r>
              <w:rPr>
                <w:rFonts w:eastAsia="Courier New"/>
                <w:bCs/>
                <w:iCs/>
                <w:sz w:val="26"/>
                <w:szCs w:val="26"/>
              </w:rPr>
            </w:r>
          </w:p>
        </w:tc>
        <w:tc>
          <w:tcPr>
            <w:tcW w:w="9358" w:type="dxa"/>
            <w:vAlign w:val="center"/>
            <w:textDirection w:val="lrTb"/>
            <w:noWrap w:val="false"/>
          </w:tcPr>
          <w:p>
            <w:pPr>
              <w:rPr>
                <w:color w:val="000000"/>
                <w:spacing w:val="3"/>
                <w:sz w:val="26"/>
                <w:szCs w:val="26"/>
              </w:rPr>
              <w:outlineLvl w:val="1"/>
            </w:pPr>
            <w:r>
              <w:rPr>
                <w:color w:val="000000"/>
                <w:spacing w:val="3"/>
                <w:sz w:val="26"/>
                <w:szCs w:val="26"/>
              </w:rPr>
              <w:t xml:space="preserve">1. Обеспечение доступности качественного образования, соответствующего требованиям инновационного развития экономики, совреме</w:t>
            </w:r>
            <w:r>
              <w:rPr>
                <w:color w:val="000000"/>
                <w:spacing w:val="3"/>
                <w:sz w:val="26"/>
                <w:szCs w:val="26"/>
              </w:rPr>
              <w:t xml:space="preserve">нным потребностям общества и каждого жителя Нефтеюганского района.</w:t>
            </w:r>
            <w:r>
              <w:rPr>
                <w:color w:val="000000"/>
                <w:spacing w:val="3"/>
                <w:sz w:val="26"/>
                <w:szCs w:val="26"/>
              </w:rPr>
            </w:r>
            <w:r>
              <w:rPr>
                <w:color w:val="000000"/>
                <w:spacing w:val="3"/>
                <w:sz w:val="26"/>
                <w:szCs w:val="26"/>
              </w:rPr>
            </w:r>
          </w:p>
        </w:tc>
      </w:tr>
      <w:tr>
        <w:tblPrEx/>
        <w:trPr>
          <w:trHeight w:val="202"/>
        </w:trPr>
        <w:tc>
          <w:tcPr>
            <w:shd w:val="clear" w:color="auto" w:fill="auto"/>
            <w:tcW w:w="6377" w:type="dxa"/>
            <w:vAlign w:val="center"/>
            <w:textDirection w:val="lrTb"/>
            <w:noWrap w:val="false"/>
          </w:tcPr>
          <w:p>
            <w:pPr>
              <w:rPr>
                <w:rFonts w:eastAsia="Courier New"/>
                <w:bCs/>
                <w:iCs/>
                <w:sz w:val="26"/>
                <w:szCs w:val="26"/>
              </w:rPr>
              <w:outlineLvl w:val="1"/>
            </w:pP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Направления (подпрограммы) муниципальной программы</w:t>
            </w:r>
            <w:r>
              <w:rPr>
                <w:rFonts w:eastAsia="Courier New"/>
                <w:bCs/>
                <w:iCs/>
                <w:sz w:val="26"/>
                <w:szCs w:val="26"/>
              </w:rPr>
            </w:r>
            <w:r>
              <w:rPr>
                <w:rFonts w:eastAsia="Courier New"/>
                <w:bCs/>
                <w:iCs/>
                <w:sz w:val="26"/>
                <w:szCs w:val="26"/>
              </w:rPr>
            </w:r>
          </w:p>
        </w:tc>
        <w:tc>
          <w:tcPr>
            <w:tcW w:w="9358" w:type="dxa"/>
            <w:vAlign w:val="center"/>
            <w:textDirection w:val="lrTb"/>
            <w:noWrap w:val="false"/>
          </w:tcPr>
          <w:p>
            <w:pPr>
              <w:rPr>
                <w:color w:val="000000"/>
                <w:spacing w:val="3"/>
                <w:sz w:val="26"/>
                <w:szCs w:val="26"/>
              </w:rPr>
              <w:outlineLvl w:val="1"/>
            </w:pPr>
            <w:r>
              <w:rPr>
                <w:color w:val="000000"/>
                <w:spacing w:val="3"/>
                <w:sz w:val="26"/>
                <w:szCs w:val="26"/>
              </w:rPr>
              <w:t xml:space="preserve">1. «Дошкольное, общее и дополнительное образования детей».</w:t>
            </w:r>
            <w:r>
              <w:rPr>
                <w:color w:val="000000"/>
                <w:spacing w:val="3"/>
                <w:sz w:val="26"/>
                <w:szCs w:val="26"/>
              </w:rPr>
            </w:r>
            <w:r>
              <w:rPr>
                <w:color w:val="000000"/>
                <w:spacing w:val="3"/>
                <w:sz w:val="26"/>
                <w:szCs w:val="26"/>
              </w:rPr>
            </w:r>
          </w:p>
          <w:p>
            <w:pPr>
              <w:rPr>
                <w:color w:val="000000"/>
                <w:spacing w:val="3"/>
                <w:sz w:val="26"/>
                <w:szCs w:val="26"/>
              </w:rPr>
              <w:outlineLvl w:val="1"/>
            </w:pPr>
            <w:r>
              <w:rPr>
                <w:color w:val="000000"/>
                <w:spacing w:val="3"/>
                <w:sz w:val="26"/>
                <w:szCs w:val="26"/>
              </w:rPr>
              <w:t xml:space="preserve">2. «Ресурсное обеспечение в сфере образования».</w:t>
            </w:r>
            <w:r>
              <w:rPr>
                <w:color w:val="000000"/>
                <w:spacing w:val="3"/>
                <w:sz w:val="26"/>
                <w:szCs w:val="26"/>
              </w:rPr>
            </w:r>
            <w:r>
              <w:rPr>
                <w:color w:val="000000"/>
                <w:spacing w:val="3"/>
                <w:sz w:val="26"/>
                <w:szCs w:val="26"/>
              </w:rPr>
            </w:r>
          </w:p>
        </w:tc>
      </w:tr>
      <w:tr>
        <w:tblPrEx/>
        <w:trPr>
          <w:trHeight w:val="202"/>
        </w:trPr>
        <w:tc>
          <w:tcPr>
            <w:shd w:val="clear" w:color="auto" w:fill="auto"/>
            <w:tcW w:w="6377" w:type="dxa"/>
            <w:vAlign w:val="center"/>
            <w:textDirection w:val="lrTb"/>
            <w:noWrap w:val="false"/>
          </w:tcPr>
          <w:p>
            <w:pPr>
              <w:rPr>
                <w:rFonts w:eastAsia="Courier New"/>
                <w:bCs/>
                <w:iCs/>
                <w:color w:val="000000" w:themeColor="text1"/>
                <w:sz w:val="26"/>
                <w:szCs w:val="26"/>
              </w:rPr>
              <w:outlineLvl w:val="1"/>
            </w:pPr>
            <w:r>
              <w:rPr>
                <w:color w:val="000000" w:themeColor="text1"/>
                <w:sz w:val="26"/>
                <w:szCs w:val="26"/>
              </w:rPr>
              <w:t xml:space="preserve">Объемы финансового обеспечения за весь период реализации</w:t>
            </w:r>
            <w:r>
              <w:rPr>
                <w:color w:val="000000" w:themeColor="text1"/>
                <w:sz w:val="26"/>
                <w:szCs w:val="26"/>
                <w:vertAlign w:val="superscript"/>
              </w:rPr>
              <w:footnoteReference w:id="2"/>
            </w:r>
            <w:r>
              <w:rPr>
                <w:rFonts w:eastAsia="Courier New"/>
                <w:bCs/>
                <w:iCs/>
                <w:color w:val="000000" w:themeColor="text1"/>
                <w:sz w:val="26"/>
                <w:szCs w:val="26"/>
              </w:rPr>
            </w:r>
            <w:r>
              <w:rPr>
                <w:rFonts w:eastAsia="Courier New"/>
                <w:bCs/>
                <w:iCs/>
                <w:color w:val="000000" w:themeColor="text1"/>
                <w:sz w:val="26"/>
                <w:szCs w:val="26"/>
              </w:rPr>
            </w:r>
          </w:p>
        </w:tc>
        <w:tc>
          <w:tcPr>
            <w:tcW w:w="9358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pacing w:val="3"/>
                <w:sz w:val="26"/>
                <w:szCs w:val="26"/>
              </w:rPr>
              <w:outlineLvl w:val="1"/>
            </w:pPr>
            <w:r>
              <w:rPr>
                <w:color w:val="000000" w:themeColor="text1"/>
                <w:spacing w:val="3"/>
                <w:sz w:val="26"/>
                <w:szCs w:val="26"/>
              </w:rPr>
              <w:t xml:space="preserve">12 </w:t>
            </w:r>
            <w:r>
              <w:rPr>
                <w:color w:val="000000" w:themeColor="text1"/>
                <w:spacing w:val="3"/>
                <w:sz w:val="26"/>
                <w:szCs w:val="26"/>
              </w:rPr>
              <w:t xml:space="preserve">8</w:t>
            </w:r>
            <w:r>
              <w:rPr>
                <w:color w:val="000000" w:themeColor="text1"/>
                <w:spacing w:val="3"/>
                <w:sz w:val="26"/>
                <w:szCs w:val="26"/>
              </w:rPr>
              <w:t xml:space="preserve">0</w:t>
            </w:r>
            <w:r>
              <w:rPr>
                <w:color w:val="000000" w:themeColor="text1"/>
                <w:spacing w:val="3"/>
                <w:sz w:val="26"/>
                <w:szCs w:val="26"/>
              </w:rPr>
              <w:t xml:space="preserve">2</w:t>
            </w:r>
            <w:r>
              <w:rPr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pacing w:val="3"/>
                <w:sz w:val="26"/>
                <w:szCs w:val="26"/>
              </w:rPr>
              <w:t xml:space="preserve">8</w:t>
            </w:r>
            <w:r>
              <w:rPr>
                <w:color w:val="000000" w:themeColor="text1"/>
                <w:spacing w:val="3"/>
                <w:sz w:val="26"/>
                <w:szCs w:val="26"/>
              </w:rPr>
              <w:t xml:space="preserve">9</w:t>
            </w:r>
            <w:r>
              <w:rPr>
                <w:color w:val="000000" w:themeColor="text1"/>
                <w:spacing w:val="3"/>
                <w:sz w:val="26"/>
                <w:szCs w:val="26"/>
              </w:rPr>
              <w:t xml:space="preserve">9,</w:t>
            </w:r>
            <w:r>
              <w:rPr>
                <w:color w:val="000000" w:themeColor="text1"/>
                <w:spacing w:val="3"/>
                <w:sz w:val="26"/>
                <w:szCs w:val="26"/>
              </w:rPr>
              <w:t xml:space="preserve">4</w:t>
            </w:r>
            <w:r>
              <w:rPr>
                <w:color w:val="000000" w:themeColor="text1"/>
                <w:spacing w:val="3"/>
                <w:sz w:val="26"/>
                <w:szCs w:val="26"/>
              </w:rPr>
              <w:t xml:space="preserve">4</w:t>
            </w:r>
            <w:r>
              <w:rPr>
                <w:color w:val="000000" w:themeColor="text1"/>
                <w:spacing w:val="3"/>
                <w:sz w:val="26"/>
                <w:szCs w:val="26"/>
              </w:rPr>
              <w:t xml:space="preserve">7</w:t>
            </w:r>
            <w:r>
              <w:rPr>
                <w:color w:val="000000" w:themeColor="text1"/>
                <w:spacing w:val="3"/>
                <w:sz w:val="26"/>
                <w:szCs w:val="26"/>
              </w:rPr>
              <w:t xml:space="preserve">2</w:t>
            </w:r>
            <w:r>
              <w:rPr>
                <w:color w:val="000000" w:themeColor="text1"/>
                <w:spacing w:val="3"/>
                <w:sz w:val="26"/>
                <w:szCs w:val="26"/>
              </w:rPr>
              <w:t xml:space="preserve">9</w:t>
            </w:r>
            <w:r>
              <w:rPr>
                <w:color w:val="000000" w:themeColor="text1"/>
                <w:spacing w:val="3"/>
                <w:sz w:val="26"/>
                <w:szCs w:val="26"/>
              </w:rPr>
              <w:t xml:space="preserve"> тысяч рублей</w:t>
            </w:r>
            <w:r>
              <w:rPr>
                <w:color w:val="000000" w:themeColor="text1"/>
                <w:spacing w:val="3"/>
                <w:sz w:val="26"/>
                <w:szCs w:val="26"/>
              </w:rPr>
            </w:r>
            <w:r>
              <w:rPr>
                <w:color w:val="000000" w:themeColor="text1"/>
                <w:spacing w:val="3"/>
                <w:sz w:val="26"/>
                <w:szCs w:val="26"/>
              </w:rPr>
            </w:r>
          </w:p>
        </w:tc>
      </w:tr>
      <w:tr>
        <w:tblPrEx/>
        <w:trPr>
          <w:trHeight w:val="803"/>
        </w:trPr>
        <w:tc>
          <w:tcPr>
            <w:shd w:val="clear" w:color="auto" w:fill="auto"/>
            <w:tcW w:w="6377" w:type="dxa"/>
            <w:vAlign w:val="center"/>
            <w:textDirection w:val="lrTb"/>
            <w:noWrap w:val="false"/>
          </w:tcPr>
          <w:p>
            <w:pPr>
              <w:rPr>
                <w:rFonts w:eastAsia="Courier New"/>
                <w:bCs/>
                <w:iCs/>
                <w:sz w:val="26"/>
                <w:szCs w:val="26"/>
              </w:rPr>
              <w:outlineLvl w:val="1"/>
            </w:pPr>
            <w:r>
              <w:rPr>
                <w:rFonts w:eastAsia="Courier New"/>
                <w:bCs/>
                <w:iCs/>
                <w:sz w:val="26"/>
                <w:szCs w:val="26"/>
              </w:rPr>
              <w:t xml:space="preserve"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  <w:r>
              <w:rPr>
                <w:rFonts w:eastAsia="Courier New"/>
                <w:bCs/>
                <w:iCs/>
                <w:sz w:val="26"/>
                <w:szCs w:val="26"/>
              </w:rPr>
            </w:r>
            <w:r>
              <w:rPr>
                <w:rFonts w:eastAsia="Courier New"/>
                <w:bCs/>
                <w:iCs/>
                <w:sz w:val="26"/>
                <w:szCs w:val="26"/>
              </w:rPr>
            </w:r>
          </w:p>
        </w:tc>
        <w:tc>
          <w:tcPr>
            <w:tcW w:w="9358" w:type="dxa"/>
            <w:vAlign w:val="center"/>
            <w:textDirection w:val="lrTb"/>
            <w:noWrap w:val="false"/>
          </w:tcPr>
          <w:p>
            <w:pPr>
              <w:rPr>
                <w:color w:val="000000"/>
                <w:spacing w:val="3"/>
                <w:sz w:val="26"/>
                <w:szCs w:val="26"/>
              </w:rPr>
              <w:outlineLvl w:val="1"/>
            </w:pPr>
            <w:r>
              <w:rPr>
                <w:color w:val="000000"/>
                <w:spacing w:val="3"/>
                <w:sz w:val="26"/>
                <w:szCs w:val="26"/>
              </w:rPr>
              <w:t xml:space="preserve">1. Национальная цель «Реализация потенциала каждого человека, развитие его талантов, воспитание патриотичной и социально отве</w:t>
            </w:r>
            <w:r>
              <w:rPr>
                <w:color w:val="000000"/>
                <w:spacing w:val="3"/>
                <w:sz w:val="26"/>
                <w:szCs w:val="26"/>
              </w:rPr>
              <w:t xml:space="preserve">тственной личности».</w:t>
            </w:r>
            <w:r>
              <w:rPr>
                <w:color w:val="000000"/>
                <w:spacing w:val="3"/>
                <w:sz w:val="26"/>
                <w:szCs w:val="26"/>
              </w:rPr>
            </w:r>
            <w:r>
              <w:rPr>
                <w:color w:val="000000"/>
                <w:spacing w:val="3"/>
                <w:sz w:val="26"/>
                <w:szCs w:val="26"/>
              </w:rPr>
            </w:r>
          </w:p>
          <w:p>
            <w:pPr>
              <w:rPr>
                <w:color w:val="000000"/>
                <w:spacing w:val="3"/>
                <w:sz w:val="16"/>
                <w:szCs w:val="16"/>
              </w:rPr>
              <w:outlineLvl w:val="1"/>
            </w:pPr>
            <w:r>
              <w:rPr>
                <w:color w:val="000000"/>
                <w:spacing w:val="3"/>
                <w:sz w:val="26"/>
                <w:szCs w:val="26"/>
              </w:rPr>
              <w:t xml:space="preserve">1.1. Показатель «Обеспечение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</w:t>
            </w:r>
            <w:r>
              <w:rPr>
                <w:color w:val="000000"/>
                <w:spacing w:val="3"/>
                <w:sz w:val="26"/>
                <w:szCs w:val="26"/>
              </w:rPr>
              <w:t xml:space="preserve"> на самоопределение и профессиональную ориентацию 100 процентов обучающихся».</w:t>
            </w:r>
            <w:r>
              <w:rPr>
                <w:color w:val="000000"/>
                <w:spacing w:val="3"/>
                <w:sz w:val="16"/>
                <w:szCs w:val="16"/>
              </w:rPr>
            </w:r>
            <w:r>
              <w:rPr>
                <w:color w:val="000000"/>
                <w:spacing w:val="3"/>
                <w:sz w:val="16"/>
                <w:szCs w:val="16"/>
              </w:rPr>
            </w:r>
          </w:p>
          <w:p>
            <w:pPr>
              <w:rPr>
                <w:color w:val="000000"/>
                <w:spacing w:val="3"/>
                <w:sz w:val="26"/>
                <w:szCs w:val="26"/>
              </w:rPr>
              <w:outlineLvl w:val="1"/>
            </w:pPr>
            <w:r>
              <w:rPr>
                <w:color w:val="000000"/>
                <w:spacing w:val="3"/>
                <w:sz w:val="26"/>
                <w:szCs w:val="26"/>
              </w:rPr>
              <w:t xml:space="preserve">2. Национальная цель «Цифровая трансформация государственного и муниципального управления, экономики и социальной сферы».</w:t>
            </w:r>
            <w:r>
              <w:rPr>
                <w:color w:val="000000"/>
                <w:spacing w:val="3"/>
                <w:sz w:val="26"/>
                <w:szCs w:val="26"/>
              </w:rPr>
            </w:r>
            <w:r>
              <w:rPr>
                <w:color w:val="000000"/>
                <w:spacing w:val="3"/>
                <w:sz w:val="26"/>
                <w:szCs w:val="26"/>
              </w:rPr>
            </w:r>
          </w:p>
          <w:p>
            <w:pPr>
              <w:ind w:right="493"/>
              <w:rPr>
                <w:color w:val="000000"/>
                <w:spacing w:val="3"/>
                <w:sz w:val="26"/>
                <w:szCs w:val="26"/>
              </w:rPr>
              <w:outlineLvl w:val="1"/>
            </w:pPr>
            <w:r>
              <w:rPr>
                <w:color w:val="000000"/>
                <w:spacing w:val="3"/>
                <w:sz w:val="26"/>
                <w:szCs w:val="26"/>
              </w:rPr>
              <w:t xml:space="preserve">2.1. Показатель «Достижение к 2030 году «цифровой зрелос</w:t>
            </w:r>
            <w:r>
              <w:rPr>
                <w:color w:val="000000"/>
                <w:spacing w:val="3"/>
                <w:sz w:val="26"/>
                <w:szCs w:val="26"/>
              </w:rPr>
              <w:t xml:space="preserve">ти»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</w:t>
            </w:r>
            <w:r>
              <w:rPr>
                <w:color w:val="000000"/>
                <w:spacing w:val="3"/>
                <w:sz w:val="26"/>
                <w:szCs w:val="26"/>
              </w:rPr>
              <w:t xml:space="preserve">ния на основе данных с учетом ускоренного внедрения технологий обработки больших объемов данных, машинного обучения и искусственного интеллекта».</w:t>
            </w:r>
            <w:r>
              <w:rPr>
                <w:color w:val="000000"/>
                <w:spacing w:val="3"/>
                <w:sz w:val="26"/>
                <w:szCs w:val="26"/>
              </w:rPr>
            </w:r>
            <w:r>
              <w:rPr>
                <w:color w:val="000000"/>
                <w:spacing w:val="3"/>
                <w:sz w:val="26"/>
                <w:szCs w:val="26"/>
              </w:rPr>
            </w:r>
          </w:p>
          <w:p>
            <w:pPr>
              <w:rPr>
                <w:color w:val="000000"/>
                <w:spacing w:val="3"/>
                <w:sz w:val="26"/>
                <w:szCs w:val="26"/>
              </w:rPr>
              <w:outlineLvl w:val="1"/>
            </w:pPr>
            <w:r>
              <w:rPr>
                <w:color w:val="000000"/>
                <w:spacing w:val="3"/>
                <w:sz w:val="26"/>
                <w:szCs w:val="26"/>
              </w:rPr>
              <w:t xml:space="preserve">3. Государственная программа Ханты-Мансийского автономного округа – Югры «Развитие образования».</w:t>
            </w:r>
            <w:r>
              <w:rPr>
                <w:color w:val="000000"/>
                <w:spacing w:val="3"/>
                <w:sz w:val="26"/>
                <w:szCs w:val="26"/>
              </w:rPr>
            </w:r>
            <w:r>
              <w:rPr>
                <w:color w:val="000000"/>
                <w:spacing w:val="3"/>
                <w:sz w:val="26"/>
                <w:szCs w:val="26"/>
              </w:rPr>
            </w:r>
          </w:p>
          <w:p>
            <w:pPr>
              <w:rPr>
                <w:color w:val="000000"/>
                <w:spacing w:val="3"/>
                <w:sz w:val="26"/>
                <w:szCs w:val="26"/>
                <w:highlight w:val="yellow"/>
              </w:rPr>
              <w:outlineLvl w:val="1"/>
            </w:pPr>
            <w:r>
              <w:rPr>
                <w:color w:val="000000"/>
                <w:spacing w:val="3"/>
                <w:sz w:val="26"/>
                <w:szCs w:val="26"/>
                <w:highlight w:val="yellow"/>
              </w:rPr>
            </w:r>
            <w:r>
              <w:rPr>
                <w:color w:val="000000"/>
                <w:spacing w:val="3"/>
                <w:sz w:val="26"/>
                <w:szCs w:val="26"/>
                <w:highlight w:val="yellow"/>
              </w:rPr>
            </w:r>
            <w:r>
              <w:rPr>
                <w:color w:val="000000"/>
                <w:spacing w:val="3"/>
                <w:sz w:val="26"/>
                <w:szCs w:val="26"/>
                <w:highlight w:val="yellow"/>
              </w:rPr>
            </w:r>
          </w:p>
        </w:tc>
      </w:tr>
    </w:tbl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427"/>
        <w:jc w:val="right"/>
        <w:tabs>
          <w:tab w:val="left" w:pos="6379" w:leader="none"/>
        </w:tabs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</w:r>
      <w:r>
        <w:rPr>
          <w:rFonts w:eastAsia="Calibri"/>
          <w:sz w:val="26"/>
          <w:szCs w:val="26"/>
          <w:lang w:eastAsia="en-US"/>
        </w:rPr>
      </w:r>
    </w:p>
    <w:p>
      <w:pPr>
        <w:ind w:right="-427"/>
        <w:jc w:val="right"/>
        <w:tabs>
          <w:tab w:val="left" w:pos="6379" w:leader="none"/>
        </w:tabs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/>
    </w:p>
    <w:p>
      <w:pPr>
        <w:sectPr>
          <w:headerReference w:type="default" r:id="rId9"/>
          <w:headerReference w:type="even" r:id="rId10"/>
          <w:headerReference w:type="first" r:id="rId11"/>
          <w:footerReference w:type="default" r:id="rId12"/>
          <w:footerReference w:type="even" r:id="rId13"/>
          <w:footerReference w:type="first" r:id="rId14"/>
          <w:footnotePr/>
          <w:endnotePr/>
          <w:type w:val="nextPage"/>
          <w:pgSz w:w="16838" w:h="11906" w:orient="landscape"/>
          <w:pgMar w:top="709" w:right="1387" w:bottom="244" w:left="1134" w:header="709" w:footer="709" w:gutter="0"/>
          <w:pgNumType w:start="2"/>
          <w:cols w:num="1" w:sep="0" w:space="720" w:equalWidth="1"/>
          <w:docGrid w:linePitch="360"/>
          <w:titlePg/>
        </w:sectPr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2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67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ад</w:t>
      </w:r>
      <w:r>
        <w:rPr>
          <w:sz w:val="26"/>
          <w:szCs w:val="26"/>
        </w:rPr>
        <w:t xml:space="preserve">министрации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Нефтеюганского района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</w:pPr>
      <w:r>
        <w:rPr>
          <w:sz w:val="26"/>
          <w:szCs w:val="26"/>
        </w:rPr>
        <w:t xml:space="preserve">от _________ № ___-па-</w:t>
      </w:r>
      <w:r>
        <w:rPr>
          <w:sz w:val="26"/>
          <w:szCs w:val="26"/>
        </w:rPr>
        <w:t xml:space="preserve">нпа</w:t>
      </w:r>
      <w:r/>
    </w:p>
    <w:p>
      <w:pPr>
        <w:jc w:val="right"/>
      </w:pPr>
      <w:r/>
      <w:r/>
    </w:p>
    <w:p>
      <w:pPr>
        <w:jc w:val="right"/>
        <w:tabs>
          <w:tab w:val="left" w:pos="709" w:leader="none"/>
        </w:tabs>
        <w:rPr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«</w:t>
      </w:r>
      <w:r>
        <w:rPr>
          <w:sz w:val="26"/>
          <w:szCs w:val="26"/>
        </w:rPr>
        <w:t xml:space="preserve">Прилож</w:t>
      </w:r>
      <w:r>
        <w:rPr>
          <w:sz w:val="26"/>
          <w:szCs w:val="26"/>
        </w:rPr>
        <w:t xml:space="preserve">ение </w:t>
      </w:r>
      <w:r>
        <w:rPr>
          <w:sz w:val="26"/>
          <w:szCs w:val="26"/>
        </w:rPr>
        <w:t xml:space="preserve">3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812"/>
        <w:jc w:val="right"/>
        <w:tabs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 постановлению администрации                                                                 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812"/>
        <w:jc w:val="right"/>
        <w:tabs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Нефтеюган</w:t>
      </w:r>
      <w:r>
        <w:rPr>
          <w:sz w:val="26"/>
          <w:szCs w:val="26"/>
        </w:rPr>
        <w:t xml:space="preserve">ского района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left="5812"/>
        <w:jc w:val="right"/>
        <w:tabs>
          <w:tab w:val="left" w:pos="709" w:leader="none"/>
        </w:tabs>
        <w:rPr>
          <w:bCs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от 02.11.2022 № 1868-па-нпа</w:t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</w:t>
      </w:r>
      <w:r>
        <w:rPr>
          <w:bCs/>
          <w:sz w:val="26"/>
          <w:szCs w:val="26"/>
        </w:rPr>
      </w:r>
      <w:r>
        <w:rPr>
          <w:bCs/>
        </w:rPr>
      </w:r>
    </w:p>
    <w:p>
      <w:pPr>
        <w:jc w:val="right"/>
        <w:tabs>
          <w:tab w:val="left" w:pos="709" w:leader="none"/>
        </w:tabs>
        <w:rPr>
          <w:bCs/>
        </w:rPr>
      </w:pP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  <w:sz w:val="26"/>
          <w:szCs w:val="26"/>
        </w:rPr>
        <w:t xml:space="preserve">ПОРЯДОК </w:t>
      </w:r>
      <w:r>
        <w:rPr>
          <w:bCs/>
          <w:sz w:val="26"/>
          <w:szCs w:val="26"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  <w:sz w:val="26"/>
          <w:szCs w:val="26"/>
        </w:rPr>
        <w:t xml:space="preserve">предоставления денежного поощрения победителям и призерам конкурсов профессионального мастерства педагогов </w:t>
      </w:r>
      <w:r>
        <w:rPr>
          <w:bCs/>
          <w:sz w:val="26"/>
          <w:szCs w:val="26"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  <w:sz w:val="26"/>
          <w:szCs w:val="26"/>
        </w:rPr>
        <w:t xml:space="preserve">(далее – Порядок)</w:t>
      </w:r>
      <w:r>
        <w:rPr>
          <w:bCs/>
          <w:sz w:val="26"/>
          <w:szCs w:val="26"/>
        </w:rPr>
      </w:r>
      <w:r>
        <w:rPr>
          <w:bCs/>
        </w:rPr>
      </w:r>
    </w:p>
    <w:p>
      <w:pPr>
        <w:jc w:val="center"/>
        <w:rPr>
          <w:bCs/>
        </w:rPr>
      </w:pP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  <w:r>
        <w:rPr>
          <w:bCs/>
        </w:rPr>
      </w:r>
    </w:p>
    <w:p>
      <w:pPr>
        <w:numPr>
          <w:ilvl w:val="0"/>
          <w:numId w:val="13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Настоящий Порядок определяет механизм и условия предоставления денежного поощрения победителям и призерам конкурсов профессионального мастерства педагогов (далее – конкурсы).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3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Денежное поощрение предоставляется победителям и призерам конкурсов профессионального мастерства педагогов, проводимых в рамках </w:t>
      </w:r>
      <w:r>
        <w:rPr>
          <w:sz w:val="26"/>
          <w:szCs w:val="26"/>
        </w:rPr>
        <w:t xml:space="preserve">муниципальной программы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3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Организатором конкурсов является департамент образования Нефтеюганского района (далее – Департамент).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3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Положение о конкурсах, место и сроки проведения определяются приказом Департамента.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3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Предоставление победителям и призерам конкурсов денежного поощрения осуществляется за счет бюджетных ассигнований бюджета Нефтеюганского района.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3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Наименования Конкурсов, номинаций и размер денежного поощрения: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1"/>
          <w:numId w:val="13"/>
        </w:numPr>
        <w:ind w:left="1134" w:hanging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«Педагог года»: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4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«Учитель года»;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4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«Воспитатель дошкольного образовательного учреждения»;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4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«Сердце отдаю детям»;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4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«Учитель родного языка и литературы»;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4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«Педагог-психолог года»;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4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«Руководитель года образовательной организации»;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4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«Лучший преподаватель-организатор ОБЖ (БЖД)»;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4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«Педагогический дебют».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Победитель 1 место – 25000 рублей, 1 в каждой номинации конкурса.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Призер 2 место – 20000 рублей, 1 в каждой номинации конкурса.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Призер 3 место – 15000 рублей, 1 в каждой номинации конкурса.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Участие в конкурсе – 10000 рублей.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1"/>
          <w:numId w:val="13"/>
        </w:numPr>
        <w:ind w:left="1134" w:hanging="42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«Лучший педагог Нефтеюганского района»: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5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«Лучший педагог (преподаватель) общеобразовательной организации» -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12000 рублей;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5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pacing w:val="-4"/>
          <w:sz w:val="26"/>
          <w:szCs w:val="26"/>
        </w:rPr>
        <w:t xml:space="preserve">«Лучший педагог (воспитатель) дошкольной образовательной организации» -</w:t>
      </w:r>
      <w:r>
        <w:rPr>
          <w:sz w:val="26"/>
          <w:szCs w:val="26"/>
        </w:rPr>
        <w:t xml:space="preserve"> 12000 рублей;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5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«Лучший педагог (преподаватель) дополнительного образования </w:t>
      </w:r>
      <w:r>
        <w:rPr>
          <w:sz w:val="26"/>
          <w:szCs w:val="26"/>
        </w:rPr>
        <w:br/>
        <w:t xml:space="preserve">детей» -12000 рублей.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3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Основанием для начисления денежного поощрения победителю и призеру конкурса является приказ Департамента.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13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Предоставление премий победителям и призерам конкурса осуществляется Департаментом путем перечисления денежных средств на счета, открытые в кредитных организациях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566" w:bottom="1134" w:left="1418" w:header="709" w:footer="709" w:gutter="0"/>
      <w:pgNumType w:start="9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  <w:rPr>
        <w:sz w:val="16"/>
        <w:szCs w:val="16"/>
      </w:rPr>
    </w:pPr>
    <w:r>
      <w:rPr>
        <w:sz w:val="16"/>
        <w:szCs w:val="16"/>
      </w:rPr>
      <w:t xml:space="preserve">нв</w:t>
    </w:r>
    <w:r>
      <w:rPr>
        <w:sz w:val="16"/>
        <w:szCs w:val="16"/>
      </w:rPr>
    </w:r>
    <w:r>
      <w:rPr>
        <w:sz w:val="16"/>
        <w:szCs w:val="16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89"/>
        <w:rPr>
          <w:sz w:val="18"/>
          <w:szCs w:val="18"/>
        </w:rPr>
      </w:pPr>
      <w:r>
        <w:rPr>
          <w:rStyle w:val="987"/>
          <w:rFonts w:ascii="Calibri" w:hAnsi="Calibri"/>
          <w:sz w:val="18"/>
          <w:szCs w:val="18"/>
        </w:rPr>
        <w:footnoteRef/>
      </w:r>
      <w:r>
        <w:rPr>
          <w:sz w:val="18"/>
          <w:szCs w:val="18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4850807"/>
      <w:docPartObj>
        <w:docPartGallery w:val="Page Numbers (Top of Page)"/>
        <w:docPartUnique w:val="true"/>
      </w:docPartObj>
      <w:rPr/>
    </w:sdtPr>
    <w:sdtContent>
      <w:p>
        <w:pPr>
          <w:pStyle w:val="977"/>
          <w:jc w:val="center"/>
        </w:pPr>
        <w:r/>
        <w:r/>
      </w:p>
      <w:p>
        <w:pPr>
          <w:pStyle w:val="977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10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  <w:p>
        <w:pPr>
          <w:pStyle w:val="977"/>
          <w:jc w:val="center"/>
          <w:rPr>
            <w:rFonts w:ascii="Times New Roman" w:hAnsi="Times New Roman"/>
            <w:sz w:val="16"/>
            <w:szCs w:val="16"/>
          </w:rPr>
        </w:pPr>
        <w:r>
          <w:rPr>
            <w:rFonts w:ascii="Times New Roman" w:hAnsi="Times New Roman"/>
            <w:sz w:val="16"/>
            <w:szCs w:val="16"/>
          </w:rPr>
        </w:r>
        <w:r>
          <w:rPr>
            <w:rFonts w:ascii="Times New Roman" w:hAnsi="Times New Roman"/>
            <w:sz w:val="16"/>
            <w:szCs w:val="16"/>
          </w:rPr>
        </w:r>
        <w:r>
          <w:rPr>
            <w:rFonts w:ascii="Times New Roman" w:hAnsi="Times New Roman"/>
            <w:sz w:val="16"/>
            <w:szCs w:val="16"/>
          </w:rPr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9</w:t>
    </w:r>
    <w:r>
      <w:fldChar w:fldCharType="end"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7"/>
      <w:jc w:val="center"/>
      <w:rPr>
        <w:rFonts w:ascii="Times New Roman" w:hAnsi="Times New Roman"/>
      </w:rPr>
    </w:pP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41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9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56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3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70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7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85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923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41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9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56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3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70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7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85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923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25" w:hanging="720"/>
      </w:pPr>
    </w:lvl>
    <w:lvl w:ilvl="2">
      <w:start w:val="1"/>
      <w:numFmt w:val="decimal"/>
      <w:isLgl/>
      <w:suff w:val="tab"/>
      <w:lvlText w:val="%1.%2.%3."/>
      <w:lvlJc w:val="left"/>
      <w:pPr>
        <w:ind w:left="177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475" w:hanging="1080"/>
      </w:pPr>
    </w:lvl>
    <w:lvl w:ilvl="4">
      <w:start w:val="1"/>
      <w:numFmt w:val="decimal"/>
      <w:isLgl/>
      <w:suff w:val="tab"/>
      <w:lvlText w:val="%1.%2.%3.%4.%5."/>
      <w:lvlJc w:val="left"/>
      <w:pPr>
        <w:ind w:left="282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525" w:hanging="1440"/>
      </w:pPr>
    </w:lvl>
    <w:lvl w:ilvl="6">
      <w:start w:val="1"/>
      <w:numFmt w:val="decimal"/>
      <w:isLgl/>
      <w:suff w:val="tab"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492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6"/>
  </w:num>
  <w:num w:numId="7">
    <w:abstractNumId w:val="8"/>
  </w:num>
  <w:num w:numId="8">
    <w:abstractNumId w:val="3"/>
  </w:num>
  <w:num w:numId="9">
    <w:abstractNumId w:val="2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6">
    <w:name w:val="Heading 1 Char"/>
    <w:basedOn w:val="809"/>
    <w:link w:val="800"/>
    <w:uiPriority w:val="9"/>
    <w:rPr>
      <w:rFonts w:ascii="Arial" w:hAnsi="Arial" w:eastAsia="Arial" w:cs="Arial"/>
      <w:sz w:val="40"/>
      <w:szCs w:val="40"/>
    </w:rPr>
  </w:style>
  <w:style w:type="character" w:styleId="787">
    <w:name w:val="Heading 3 Char"/>
    <w:basedOn w:val="809"/>
    <w:link w:val="802"/>
    <w:uiPriority w:val="9"/>
    <w:rPr>
      <w:rFonts w:ascii="Arial" w:hAnsi="Arial" w:eastAsia="Arial" w:cs="Arial"/>
      <w:sz w:val="30"/>
      <w:szCs w:val="30"/>
    </w:rPr>
  </w:style>
  <w:style w:type="character" w:styleId="788">
    <w:name w:val="Heading 4 Char"/>
    <w:basedOn w:val="809"/>
    <w:link w:val="803"/>
    <w:uiPriority w:val="9"/>
    <w:rPr>
      <w:rFonts w:ascii="Arial" w:hAnsi="Arial" w:eastAsia="Arial" w:cs="Arial"/>
      <w:b/>
      <w:bCs/>
      <w:sz w:val="26"/>
      <w:szCs w:val="26"/>
    </w:rPr>
  </w:style>
  <w:style w:type="character" w:styleId="789">
    <w:name w:val="Heading 5 Char"/>
    <w:basedOn w:val="809"/>
    <w:link w:val="804"/>
    <w:uiPriority w:val="9"/>
    <w:rPr>
      <w:rFonts w:ascii="Arial" w:hAnsi="Arial" w:eastAsia="Arial" w:cs="Arial"/>
      <w:b/>
      <w:bCs/>
      <w:sz w:val="24"/>
      <w:szCs w:val="24"/>
    </w:rPr>
  </w:style>
  <w:style w:type="character" w:styleId="790">
    <w:name w:val="Heading 7 Char"/>
    <w:basedOn w:val="809"/>
    <w:link w:val="8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1">
    <w:name w:val="Heading 8 Char"/>
    <w:basedOn w:val="809"/>
    <w:link w:val="807"/>
    <w:uiPriority w:val="9"/>
    <w:rPr>
      <w:rFonts w:ascii="Arial" w:hAnsi="Arial" w:eastAsia="Arial" w:cs="Arial"/>
      <w:i/>
      <w:iCs/>
      <w:sz w:val="22"/>
      <w:szCs w:val="22"/>
    </w:rPr>
  </w:style>
  <w:style w:type="character" w:styleId="792">
    <w:name w:val="Heading 9 Char"/>
    <w:basedOn w:val="809"/>
    <w:link w:val="808"/>
    <w:uiPriority w:val="9"/>
    <w:rPr>
      <w:rFonts w:ascii="Arial" w:hAnsi="Arial" w:eastAsia="Arial" w:cs="Arial"/>
      <w:i/>
      <w:iCs/>
      <w:sz w:val="21"/>
      <w:szCs w:val="21"/>
    </w:rPr>
  </w:style>
  <w:style w:type="character" w:styleId="793">
    <w:name w:val="Title Char"/>
    <w:basedOn w:val="809"/>
    <w:link w:val="822"/>
    <w:uiPriority w:val="10"/>
    <w:rPr>
      <w:sz w:val="48"/>
      <w:szCs w:val="48"/>
    </w:rPr>
  </w:style>
  <w:style w:type="character" w:styleId="794">
    <w:name w:val="Subtitle Char"/>
    <w:basedOn w:val="809"/>
    <w:link w:val="824"/>
    <w:uiPriority w:val="11"/>
    <w:rPr>
      <w:sz w:val="24"/>
      <w:szCs w:val="24"/>
    </w:rPr>
  </w:style>
  <w:style w:type="character" w:styleId="795">
    <w:name w:val="Quote Char"/>
    <w:link w:val="826"/>
    <w:uiPriority w:val="29"/>
    <w:rPr>
      <w:i/>
    </w:rPr>
  </w:style>
  <w:style w:type="character" w:styleId="796">
    <w:name w:val="Intense Quote Char"/>
    <w:link w:val="828"/>
    <w:uiPriority w:val="30"/>
    <w:rPr>
      <w:i/>
    </w:rPr>
  </w:style>
  <w:style w:type="character" w:styleId="797">
    <w:name w:val="Caption Char"/>
    <w:basedOn w:val="809"/>
    <w:link w:val="832"/>
    <w:uiPriority w:val="35"/>
    <w:rPr>
      <w:b/>
      <w:bCs/>
      <w:color w:val="4f81bd" w:themeColor="accent1"/>
      <w:sz w:val="18"/>
      <w:szCs w:val="18"/>
    </w:rPr>
  </w:style>
  <w:style w:type="character" w:styleId="798">
    <w:name w:val="Endnote Text Char"/>
    <w:link w:val="962"/>
    <w:uiPriority w:val="99"/>
    <w:rPr>
      <w:sz w:val="20"/>
    </w:rPr>
  </w:style>
  <w:style w:type="paragraph" w:styleId="79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0">
    <w:name w:val="Heading 1"/>
    <w:basedOn w:val="799"/>
    <w:next w:val="799"/>
    <w:link w:val="81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01">
    <w:name w:val="Heading 2"/>
    <w:basedOn w:val="799"/>
    <w:link w:val="976"/>
    <w:qFormat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802">
    <w:name w:val="Heading 3"/>
    <w:basedOn w:val="799"/>
    <w:next w:val="799"/>
    <w:link w:val="8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03">
    <w:name w:val="Heading 4"/>
    <w:basedOn w:val="799"/>
    <w:next w:val="799"/>
    <w:link w:val="8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04">
    <w:name w:val="Heading 5"/>
    <w:basedOn w:val="799"/>
    <w:next w:val="799"/>
    <w:link w:val="81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805">
    <w:name w:val="Heading 6"/>
    <w:basedOn w:val="799"/>
    <w:next w:val="799"/>
    <w:link w:val="981"/>
    <w:uiPriority w:val="9"/>
    <w:semiHidden/>
    <w:unhideWhenUsed/>
    <w:qFormat/>
    <w:pPr>
      <w:keepLines/>
      <w:keepNext/>
      <w:spacing w:before="200"/>
      <w:outlineLvl w:val="5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806">
    <w:name w:val="Heading 7"/>
    <w:basedOn w:val="799"/>
    <w:next w:val="799"/>
    <w:link w:val="8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07">
    <w:name w:val="Heading 8"/>
    <w:basedOn w:val="799"/>
    <w:next w:val="799"/>
    <w:link w:val="8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08">
    <w:name w:val="Heading 9"/>
    <w:basedOn w:val="799"/>
    <w:next w:val="799"/>
    <w:link w:val="82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9" w:default="1">
    <w:name w:val="Default Paragraph Font"/>
    <w:uiPriority w:val="1"/>
    <w:semiHidden/>
    <w:unhideWhenUsed/>
  </w:style>
  <w:style w:type="table" w:styleId="8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1" w:default="1">
    <w:name w:val="No List"/>
    <w:uiPriority w:val="99"/>
    <w:semiHidden/>
    <w:unhideWhenUsed/>
  </w:style>
  <w:style w:type="character" w:styleId="812" w:customStyle="1">
    <w:name w:val="Заголовок 1 Знак"/>
    <w:basedOn w:val="809"/>
    <w:link w:val="800"/>
    <w:uiPriority w:val="9"/>
    <w:rPr>
      <w:rFonts w:ascii="Arial" w:hAnsi="Arial" w:eastAsia="Arial" w:cs="Arial"/>
      <w:sz w:val="40"/>
      <w:szCs w:val="40"/>
    </w:rPr>
  </w:style>
  <w:style w:type="character" w:styleId="813" w:customStyle="1">
    <w:name w:val="Heading 2 Char"/>
    <w:basedOn w:val="809"/>
    <w:uiPriority w:val="9"/>
    <w:rPr>
      <w:rFonts w:ascii="Arial" w:hAnsi="Arial" w:eastAsia="Arial" w:cs="Arial"/>
      <w:sz w:val="34"/>
    </w:rPr>
  </w:style>
  <w:style w:type="character" w:styleId="814" w:customStyle="1">
    <w:name w:val="Заголовок 3 Знак"/>
    <w:basedOn w:val="809"/>
    <w:link w:val="802"/>
    <w:uiPriority w:val="9"/>
    <w:rPr>
      <w:rFonts w:ascii="Arial" w:hAnsi="Arial" w:eastAsia="Arial" w:cs="Arial"/>
      <w:sz w:val="30"/>
      <w:szCs w:val="30"/>
    </w:rPr>
  </w:style>
  <w:style w:type="character" w:styleId="815" w:customStyle="1">
    <w:name w:val="Заголовок 4 Знак"/>
    <w:basedOn w:val="809"/>
    <w:link w:val="803"/>
    <w:uiPriority w:val="9"/>
    <w:rPr>
      <w:rFonts w:ascii="Arial" w:hAnsi="Arial" w:eastAsia="Arial" w:cs="Arial"/>
      <w:b/>
      <w:bCs/>
      <w:sz w:val="26"/>
      <w:szCs w:val="26"/>
    </w:rPr>
  </w:style>
  <w:style w:type="character" w:styleId="816" w:customStyle="1">
    <w:name w:val="Заголовок 5 Знак"/>
    <w:basedOn w:val="809"/>
    <w:link w:val="804"/>
    <w:uiPriority w:val="9"/>
    <w:rPr>
      <w:rFonts w:ascii="Arial" w:hAnsi="Arial" w:eastAsia="Arial" w:cs="Arial"/>
      <w:b/>
      <w:bCs/>
      <w:sz w:val="24"/>
      <w:szCs w:val="24"/>
    </w:rPr>
  </w:style>
  <w:style w:type="character" w:styleId="817" w:customStyle="1">
    <w:name w:val="Heading 6 Char"/>
    <w:basedOn w:val="809"/>
    <w:uiPriority w:val="9"/>
    <w:rPr>
      <w:rFonts w:ascii="Arial" w:hAnsi="Arial" w:eastAsia="Arial" w:cs="Arial"/>
      <w:b/>
      <w:bCs/>
      <w:sz w:val="22"/>
      <w:szCs w:val="22"/>
    </w:rPr>
  </w:style>
  <w:style w:type="character" w:styleId="818" w:customStyle="1">
    <w:name w:val="Заголовок 7 Знак"/>
    <w:basedOn w:val="809"/>
    <w:link w:val="8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9" w:customStyle="1">
    <w:name w:val="Заголовок 8 Знак"/>
    <w:basedOn w:val="809"/>
    <w:link w:val="807"/>
    <w:uiPriority w:val="9"/>
    <w:rPr>
      <w:rFonts w:ascii="Arial" w:hAnsi="Arial" w:eastAsia="Arial" w:cs="Arial"/>
      <w:i/>
      <w:iCs/>
      <w:sz w:val="22"/>
      <w:szCs w:val="22"/>
    </w:rPr>
  </w:style>
  <w:style w:type="character" w:styleId="820" w:customStyle="1">
    <w:name w:val="Заголовок 9 Знак"/>
    <w:basedOn w:val="809"/>
    <w:link w:val="808"/>
    <w:uiPriority w:val="9"/>
    <w:rPr>
      <w:rFonts w:ascii="Arial" w:hAnsi="Arial" w:eastAsia="Arial" w:cs="Arial"/>
      <w:i/>
      <w:iCs/>
      <w:sz w:val="21"/>
      <w:szCs w:val="21"/>
    </w:rPr>
  </w:style>
  <w:style w:type="paragraph" w:styleId="821">
    <w:name w:val="No Spacing"/>
    <w:uiPriority w:val="1"/>
    <w:qFormat/>
    <w:pPr>
      <w:spacing w:after="0" w:line="240" w:lineRule="auto"/>
    </w:pPr>
  </w:style>
  <w:style w:type="paragraph" w:styleId="822">
    <w:name w:val="Title"/>
    <w:basedOn w:val="799"/>
    <w:next w:val="799"/>
    <w:link w:val="82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3" w:customStyle="1">
    <w:name w:val="Заголовок Знак"/>
    <w:basedOn w:val="809"/>
    <w:link w:val="822"/>
    <w:uiPriority w:val="10"/>
    <w:rPr>
      <w:sz w:val="48"/>
      <w:szCs w:val="48"/>
    </w:rPr>
  </w:style>
  <w:style w:type="paragraph" w:styleId="824">
    <w:name w:val="Subtitle"/>
    <w:basedOn w:val="799"/>
    <w:next w:val="799"/>
    <w:link w:val="825"/>
    <w:uiPriority w:val="11"/>
    <w:qFormat/>
    <w:pPr>
      <w:spacing w:before="200" w:after="200"/>
    </w:pPr>
  </w:style>
  <w:style w:type="character" w:styleId="825" w:customStyle="1">
    <w:name w:val="Подзаголовок Знак"/>
    <w:basedOn w:val="809"/>
    <w:link w:val="824"/>
    <w:uiPriority w:val="11"/>
    <w:rPr>
      <w:sz w:val="24"/>
      <w:szCs w:val="24"/>
    </w:rPr>
  </w:style>
  <w:style w:type="paragraph" w:styleId="826">
    <w:name w:val="Quote"/>
    <w:basedOn w:val="799"/>
    <w:next w:val="799"/>
    <w:link w:val="827"/>
    <w:uiPriority w:val="29"/>
    <w:qFormat/>
    <w:pPr>
      <w:ind w:left="720" w:right="720"/>
    </w:pPr>
    <w:rPr>
      <w:i/>
    </w:rPr>
  </w:style>
  <w:style w:type="character" w:styleId="827" w:customStyle="1">
    <w:name w:val="Цитата 2 Знак"/>
    <w:link w:val="826"/>
    <w:uiPriority w:val="29"/>
    <w:rPr>
      <w:i/>
    </w:rPr>
  </w:style>
  <w:style w:type="paragraph" w:styleId="828">
    <w:name w:val="Intense Quote"/>
    <w:basedOn w:val="799"/>
    <w:next w:val="799"/>
    <w:link w:val="82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9" w:customStyle="1">
    <w:name w:val="Выделенная цитата Знак"/>
    <w:link w:val="828"/>
    <w:uiPriority w:val="30"/>
    <w:rPr>
      <w:i/>
    </w:rPr>
  </w:style>
  <w:style w:type="character" w:styleId="830" w:customStyle="1">
    <w:name w:val="Header Char"/>
    <w:basedOn w:val="809"/>
    <w:uiPriority w:val="99"/>
  </w:style>
  <w:style w:type="character" w:styleId="831" w:customStyle="1">
    <w:name w:val="Footer Char"/>
    <w:basedOn w:val="809"/>
    <w:uiPriority w:val="99"/>
  </w:style>
  <w:style w:type="paragraph" w:styleId="832">
    <w:name w:val="Caption"/>
    <w:basedOn w:val="799"/>
    <w:next w:val="799"/>
    <w:link w:val="83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833" w:customStyle="1">
    <w:name w:val="Название объекта Знак"/>
    <w:basedOn w:val="809"/>
    <w:link w:val="832"/>
    <w:uiPriority w:val="35"/>
    <w:rPr>
      <w:b/>
      <w:bCs/>
      <w:color w:val="5b9bd5" w:themeColor="accent1"/>
      <w:sz w:val="18"/>
      <w:szCs w:val="18"/>
    </w:rPr>
  </w:style>
  <w:style w:type="table" w:styleId="834">
    <w:name w:val="Table Grid"/>
    <w:basedOn w:val="81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5" w:customStyle="1">
    <w:name w:val="Table Grid Light"/>
    <w:basedOn w:val="81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6">
    <w:name w:val="Plain Table 1"/>
    <w:basedOn w:val="81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7">
    <w:name w:val="Plain Table 2"/>
    <w:basedOn w:val="81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8">
    <w:name w:val="Plain Table 3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9">
    <w:name w:val="Plain Table 4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Plain Table 5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1">
    <w:name w:val="Grid Table 1 Light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4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3" w:customStyle="1">
    <w:name w:val="Grid Table 4 - Accent 1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64" w:customStyle="1">
    <w:name w:val="Grid Table 4 - Accent 2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65" w:customStyle="1">
    <w:name w:val="Grid Table 4 - Accent 3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66" w:customStyle="1">
    <w:name w:val="Grid Table 4 - Accent 4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67" w:customStyle="1">
    <w:name w:val="Grid Table 4 - Accent 5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68" w:customStyle="1">
    <w:name w:val="Grid Table 4 - Accent 6"/>
    <w:basedOn w:val="810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69">
    <w:name w:val="Grid Table 5 Dark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76">
    <w:name w:val="Grid Table 6 Colorful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7" w:customStyle="1">
    <w:name w:val="Grid Table 6 Colorful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78" w:customStyle="1">
    <w:name w:val="Grid Table 6 Colorful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79" w:customStyle="1">
    <w:name w:val="Grid Table 6 Colorful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80" w:customStyle="1">
    <w:name w:val="Grid Table 6 Colorful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81" w:customStyle="1">
    <w:name w:val="Grid Table 6 Colorful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2" w:customStyle="1">
    <w:name w:val="Grid Table 6 Colorful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3">
    <w:name w:val="Grid Table 7 Colorful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7 Colorful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7 Colorful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7 Colorful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7 Colorful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7 Colorful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7 Colorful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1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2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3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4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5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6"/>
    <w:basedOn w:val="81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04">
    <w:name w:val="List Table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5 Dark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 w:customStyle="1">
    <w:name w:val="List Table 5 Dark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>
    <w:name w:val="List Table 6 Colorful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6" w:customStyle="1">
    <w:name w:val="List Table 6 Colorful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27" w:customStyle="1">
    <w:name w:val="List Table 6 Colorful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28" w:customStyle="1">
    <w:name w:val="List Table 6 Colorful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29" w:customStyle="1">
    <w:name w:val="List Table 6 Colorful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30" w:customStyle="1">
    <w:name w:val="List Table 6 Colorful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31" w:customStyle="1">
    <w:name w:val="List Table 6 Colorful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32">
    <w:name w:val="List Table 7 Colorful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7 Colorful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7 Colorful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7 Colorful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7 Colorful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7 Colorful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7 Colorful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ned - Accent"/>
    <w:basedOn w:val="8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0" w:customStyle="1">
    <w:name w:val="Lined - Accent 1"/>
    <w:basedOn w:val="8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41" w:customStyle="1">
    <w:name w:val="Lined - Accent 2"/>
    <w:basedOn w:val="8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42" w:customStyle="1">
    <w:name w:val="Lined - Accent 3"/>
    <w:basedOn w:val="8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43" w:customStyle="1">
    <w:name w:val="Lined - Accent 4"/>
    <w:basedOn w:val="8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44" w:customStyle="1">
    <w:name w:val="Lined - Accent 5"/>
    <w:basedOn w:val="8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45" w:customStyle="1">
    <w:name w:val="Lined - Accent 6"/>
    <w:basedOn w:val="8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46" w:customStyle="1">
    <w:name w:val="Bordered &amp; Lined - Accent"/>
    <w:basedOn w:val="8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7" w:customStyle="1">
    <w:name w:val="Bordered &amp; Lined - Accent 1"/>
    <w:basedOn w:val="8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48" w:customStyle="1">
    <w:name w:val="Bordered &amp; Lined - Accent 2"/>
    <w:basedOn w:val="8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49" w:customStyle="1">
    <w:name w:val="Bordered &amp; Lined - Accent 3"/>
    <w:basedOn w:val="8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50" w:customStyle="1">
    <w:name w:val="Bordered &amp; Lined - Accent 4"/>
    <w:basedOn w:val="8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1" w:customStyle="1">
    <w:name w:val="Bordered &amp; Lined - Accent 5"/>
    <w:basedOn w:val="8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52" w:customStyle="1">
    <w:name w:val="Bordered &amp; Lined - Accent 6"/>
    <w:basedOn w:val="8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53" w:customStyle="1">
    <w:name w:val="Bordered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4" w:customStyle="1">
    <w:name w:val="Bordered - Accent 1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55" w:customStyle="1">
    <w:name w:val="Bordered - Accent 2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56" w:customStyle="1">
    <w:name w:val="Bordered - Accent 3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57" w:customStyle="1">
    <w:name w:val="Bordered - Accent 4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58" w:customStyle="1">
    <w:name w:val="Bordered - Accent 5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59" w:customStyle="1">
    <w:name w:val="Bordered - Accent 6"/>
    <w:basedOn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60">
    <w:name w:val="Hyperlink"/>
    <w:uiPriority w:val="99"/>
    <w:unhideWhenUsed/>
    <w:rPr>
      <w:color w:val="0563c1" w:themeColor="hyperlink"/>
      <w:u w:val="single"/>
    </w:rPr>
  </w:style>
  <w:style w:type="character" w:styleId="961" w:customStyle="1">
    <w:name w:val="Footnote Text Char"/>
    <w:uiPriority w:val="99"/>
    <w:rPr>
      <w:sz w:val="18"/>
    </w:rPr>
  </w:style>
  <w:style w:type="paragraph" w:styleId="962">
    <w:name w:val="endnote text"/>
    <w:basedOn w:val="799"/>
    <w:link w:val="963"/>
    <w:uiPriority w:val="99"/>
    <w:semiHidden/>
    <w:unhideWhenUsed/>
    <w:rPr>
      <w:sz w:val="20"/>
    </w:rPr>
  </w:style>
  <w:style w:type="character" w:styleId="963" w:customStyle="1">
    <w:name w:val="Текст концевой сноски Знак"/>
    <w:link w:val="962"/>
    <w:uiPriority w:val="99"/>
    <w:rPr>
      <w:sz w:val="20"/>
    </w:rPr>
  </w:style>
  <w:style w:type="character" w:styleId="964">
    <w:name w:val="endnote reference"/>
    <w:basedOn w:val="809"/>
    <w:uiPriority w:val="99"/>
    <w:semiHidden/>
    <w:unhideWhenUsed/>
    <w:rPr>
      <w:vertAlign w:val="superscript"/>
    </w:rPr>
  </w:style>
  <w:style w:type="paragraph" w:styleId="965">
    <w:name w:val="toc 1"/>
    <w:basedOn w:val="799"/>
    <w:next w:val="799"/>
    <w:uiPriority w:val="39"/>
    <w:unhideWhenUsed/>
    <w:pPr>
      <w:spacing w:after="57"/>
    </w:pPr>
  </w:style>
  <w:style w:type="paragraph" w:styleId="966">
    <w:name w:val="toc 2"/>
    <w:basedOn w:val="799"/>
    <w:next w:val="799"/>
    <w:uiPriority w:val="39"/>
    <w:unhideWhenUsed/>
    <w:pPr>
      <w:ind w:left="283"/>
      <w:spacing w:after="57"/>
    </w:pPr>
  </w:style>
  <w:style w:type="paragraph" w:styleId="967">
    <w:name w:val="toc 3"/>
    <w:basedOn w:val="799"/>
    <w:next w:val="799"/>
    <w:uiPriority w:val="39"/>
    <w:unhideWhenUsed/>
    <w:pPr>
      <w:ind w:left="567"/>
      <w:spacing w:after="57"/>
    </w:pPr>
  </w:style>
  <w:style w:type="paragraph" w:styleId="968">
    <w:name w:val="toc 4"/>
    <w:basedOn w:val="799"/>
    <w:next w:val="799"/>
    <w:uiPriority w:val="39"/>
    <w:unhideWhenUsed/>
    <w:pPr>
      <w:ind w:left="850"/>
      <w:spacing w:after="57"/>
    </w:pPr>
  </w:style>
  <w:style w:type="paragraph" w:styleId="969">
    <w:name w:val="toc 5"/>
    <w:basedOn w:val="799"/>
    <w:next w:val="799"/>
    <w:uiPriority w:val="39"/>
    <w:unhideWhenUsed/>
    <w:pPr>
      <w:ind w:left="1134"/>
      <w:spacing w:after="57"/>
    </w:pPr>
  </w:style>
  <w:style w:type="paragraph" w:styleId="970">
    <w:name w:val="toc 6"/>
    <w:basedOn w:val="799"/>
    <w:next w:val="799"/>
    <w:uiPriority w:val="39"/>
    <w:unhideWhenUsed/>
    <w:pPr>
      <w:ind w:left="1417"/>
      <w:spacing w:after="57"/>
    </w:pPr>
  </w:style>
  <w:style w:type="paragraph" w:styleId="971">
    <w:name w:val="toc 7"/>
    <w:basedOn w:val="799"/>
    <w:next w:val="799"/>
    <w:uiPriority w:val="39"/>
    <w:unhideWhenUsed/>
    <w:pPr>
      <w:ind w:left="1701"/>
      <w:spacing w:after="57"/>
    </w:pPr>
  </w:style>
  <w:style w:type="paragraph" w:styleId="972">
    <w:name w:val="toc 8"/>
    <w:basedOn w:val="799"/>
    <w:next w:val="799"/>
    <w:uiPriority w:val="39"/>
    <w:unhideWhenUsed/>
    <w:pPr>
      <w:ind w:left="1984"/>
      <w:spacing w:after="57"/>
    </w:pPr>
  </w:style>
  <w:style w:type="paragraph" w:styleId="973">
    <w:name w:val="toc 9"/>
    <w:basedOn w:val="799"/>
    <w:next w:val="799"/>
    <w:uiPriority w:val="39"/>
    <w:unhideWhenUsed/>
    <w:pPr>
      <w:ind w:left="2268"/>
      <w:spacing w:after="57"/>
    </w:pPr>
  </w:style>
  <w:style w:type="paragraph" w:styleId="974">
    <w:name w:val="TOC Heading"/>
    <w:uiPriority w:val="39"/>
    <w:unhideWhenUsed/>
  </w:style>
  <w:style w:type="paragraph" w:styleId="975">
    <w:name w:val="table of figures"/>
    <w:basedOn w:val="799"/>
    <w:next w:val="799"/>
    <w:uiPriority w:val="99"/>
    <w:unhideWhenUsed/>
  </w:style>
  <w:style w:type="character" w:styleId="976" w:customStyle="1">
    <w:name w:val="Заголовок 2 Знак"/>
    <w:basedOn w:val="809"/>
    <w:link w:val="801"/>
    <w:rPr>
      <w:rFonts w:ascii="Arial" w:hAnsi="Arial" w:eastAsia="Times New Roman" w:cs="Arial"/>
      <w:b/>
      <w:bCs/>
      <w:iCs/>
      <w:sz w:val="30"/>
      <w:szCs w:val="28"/>
      <w:lang w:eastAsia="ru-RU"/>
    </w:rPr>
  </w:style>
  <w:style w:type="paragraph" w:styleId="977">
    <w:name w:val="Header"/>
    <w:basedOn w:val="799"/>
    <w:link w:val="978"/>
    <w:uiPriority w:val="99"/>
    <w:unhideWhenUsed/>
    <w:pPr>
      <w:ind w:firstLine="567"/>
      <w:jc w:val="both"/>
      <w:tabs>
        <w:tab w:val="center" w:pos="4677" w:leader="none"/>
        <w:tab w:val="right" w:pos="9355" w:leader="none"/>
      </w:tabs>
    </w:pPr>
    <w:rPr>
      <w:rFonts w:ascii="Arial" w:hAnsi="Arial"/>
    </w:rPr>
  </w:style>
  <w:style w:type="character" w:styleId="978" w:customStyle="1">
    <w:name w:val="Верхний колонтитул Знак"/>
    <w:basedOn w:val="809"/>
    <w:link w:val="977"/>
    <w:uiPriority w:val="99"/>
    <w:rPr>
      <w:rFonts w:ascii="Arial" w:hAnsi="Arial" w:eastAsia="Times New Roman" w:cs="Times New Roman"/>
      <w:sz w:val="24"/>
      <w:szCs w:val="24"/>
      <w:lang w:eastAsia="ru-RU"/>
    </w:rPr>
  </w:style>
  <w:style w:type="paragraph" w:styleId="979">
    <w:name w:val="Footer"/>
    <w:basedOn w:val="799"/>
    <w:link w:val="980"/>
    <w:uiPriority w:val="99"/>
    <w:unhideWhenUsed/>
    <w:pPr>
      <w:ind w:firstLine="567"/>
      <w:jc w:val="both"/>
      <w:tabs>
        <w:tab w:val="center" w:pos="4677" w:leader="none"/>
        <w:tab w:val="right" w:pos="9355" w:leader="none"/>
      </w:tabs>
    </w:pPr>
    <w:rPr>
      <w:rFonts w:ascii="Arial" w:hAnsi="Arial"/>
    </w:rPr>
  </w:style>
  <w:style w:type="character" w:styleId="980" w:customStyle="1">
    <w:name w:val="Нижний колонтитул Знак"/>
    <w:basedOn w:val="809"/>
    <w:link w:val="979"/>
    <w:uiPriority w:val="99"/>
    <w:rPr>
      <w:rFonts w:ascii="Arial" w:hAnsi="Arial" w:eastAsia="Times New Roman" w:cs="Times New Roman"/>
      <w:sz w:val="24"/>
      <w:szCs w:val="24"/>
      <w:lang w:eastAsia="ru-RU"/>
    </w:rPr>
  </w:style>
  <w:style w:type="character" w:styleId="981" w:customStyle="1">
    <w:name w:val="Заголовок 6 Знак"/>
    <w:basedOn w:val="809"/>
    <w:link w:val="805"/>
    <w:uiPriority w:val="9"/>
    <w:semiHidden/>
    <w:rPr>
      <w:rFonts w:asciiTheme="majorHAnsi" w:hAnsiTheme="majorHAnsi" w:eastAsiaTheme="majorEastAsia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982">
    <w:name w:val="Balloon Text"/>
    <w:basedOn w:val="799"/>
    <w:link w:val="983"/>
    <w:uiPriority w:val="99"/>
    <w:semiHidden/>
    <w:unhideWhenUsed/>
    <w:rPr>
      <w:rFonts w:ascii="Tahoma" w:hAnsi="Tahoma" w:cs="Tahoma"/>
      <w:sz w:val="16"/>
      <w:szCs w:val="16"/>
    </w:rPr>
  </w:style>
  <w:style w:type="character" w:styleId="983" w:customStyle="1">
    <w:name w:val="Текст выноски Знак"/>
    <w:basedOn w:val="809"/>
    <w:link w:val="98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84" w:customStyle="1">
    <w:name w:val="ConsPlusNormal"/>
    <w:qFormat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985">
    <w:name w:val="List Paragraph"/>
    <w:basedOn w:val="799"/>
    <w:uiPriority w:val="34"/>
    <w:qFormat/>
    <w:pPr>
      <w:contextualSpacing/>
      <w:ind w:left="720"/>
    </w:pPr>
  </w:style>
  <w:style w:type="character" w:styleId="986">
    <w:name w:val="Placeholder Text"/>
    <w:basedOn w:val="809"/>
    <w:uiPriority w:val="99"/>
    <w:semiHidden/>
    <w:rPr>
      <w:color w:val="808080"/>
    </w:rPr>
  </w:style>
  <w:style w:type="character" w:styleId="987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character" w:styleId="988" w:customStyle="1">
    <w:name w:val="Текст сноски Знак"/>
    <w:basedOn w:val="809"/>
    <w:link w:val="989"/>
    <w:uiPriority w:val="99"/>
    <w:semiHidden/>
    <w:rPr>
      <w:rFonts w:ascii="Times New Roman" w:hAnsi="Times New Roman" w:eastAsia="Times New Roman" w:cs="Times New Roman"/>
    </w:rPr>
  </w:style>
  <w:style w:type="paragraph" w:styleId="989">
    <w:name w:val="footnote text"/>
    <w:basedOn w:val="799"/>
    <w:link w:val="988"/>
    <w:uiPriority w:val="99"/>
    <w:semiHidden/>
    <w:unhideWhenUsed/>
    <w:qFormat/>
    <w:rPr>
      <w:sz w:val="22"/>
      <w:szCs w:val="22"/>
      <w:lang w:eastAsia="en-US"/>
    </w:rPr>
  </w:style>
  <w:style w:type="character" w:styleId="990" w:customStyle="1">
    <w:name w:val="Текст сноски Знак1"/>
    <w:basedOn w:val="80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76414-A26D-4D38-9BC8-D07742416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DolmatovaVA</cp:lastModifiedBy>
  <cp:revision>98</cp:revision>
  <dcterms:created xsi:type="dcterms:W3CDTF">2023-02-21T04:57:00Z</dcterms:created>
  <dcterms:modified xsi:type="dcterms:W3CDTF">2026-05-19T13:21:47Z</dcterms:modified>
</cp:coreProperties>
</file>